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0F157950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1193" w:rsidRPr="00C11193">
              <w:rPr>
                <w:rFonts w:ascii="Arial" w:hAnsi="Arial" w:cs="Arial"/>
                <w:bCs/>
                <w:sz w:val="20"/>
                <w:szCs w:val="20"/>
              </w:rPr>
              <w:t>ODLUKE O POREZIMA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63DFDFB9" w:rsidR="00FA3060" w:rsidRPr="00E41C4A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se </w:t>
            </w:r>
            <w:r w:rsidR="007E4E09">
              <w:rPr>
                <w:rFonts w:ascii="Arial" w:eastAsia="Times New Roman" w:hAnsi="Arial" w:cs="Arial"/>
                <w:lang w:eastAsia="hr-HR"/>
              </w:rPr>
              <w:t>propisuju</w:t>
            </w:r>
            <w:r w:rsidRPr="003B6144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>vrste lokalnih poreza koji se uvode za područje Općine Stara Gradiška, visina stope poreza na potrošnju, visinu poreza na kuće za odmor</w:t>
            </w:r>
            <w:r w:rsidR="007E4E09">
              <w:rPr>
                <w:rFonts w:ascii="Arial" w:eastAsia="Times New Roman" w:hAnsi="Arial" w:cs="Arial"/>
                <w:lang w:eastAsia="hr-HR"/>
              </w:rPr>
              <w:t xml:space="preserve">, predmet oporezivanja porezom na korištenje 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>javn</w:t>
            </w:r>
            <w:r w:rsidR="007E4E09">
              <w:rPr>
                <w:rFonts w:ascii="Arial" w:eastAsia="Times New Roman" w:hAnsi="Arial" w:cs="Arial"/>
                <w:lang w:eastAsia="hr-HR"/>
              </w:rPr>
              <w:t>ih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 xml:space="preserve"> površin</w:t>
            </w:r>
            <w:r w:rsidR="007E4E09">
              <w:rPr>
                <w:rFonts w:ascii="Arial" w:eastAsia="Times New Roman" w:hAnsi="Arial" w:cs="Arial"/>
                <w:lang w:eastAsia="hr-HR"/>
              </w:rPr>
              <w:t>a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>,</w:t>
            </w:r>
            <w:r w:rsidR="007E4E09">
              <w:rPr>
                <w:rFonts w:ascii="Arial" w:eastAsia="Times New Roman" w:hAnsi="Arial" w:cs="Arial"/>
                <w:lang w:eastAsia="hr-HR"/>
              </w:rPr>
              <w:t xml:space="preserve"> kao i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 xml:space="preserve"> visi</w:t>
            </w:r>
            <w:r w:rsidR="007E4E09">
              <w:rPr>
                <w:rFonts w:ascii="Arial" w:eastAsia="Times New Roman" w:hAnsi="Arial" w:cs="Arial"/>
                <w:lang w:eastAsia="hr-HR"/>
              </w:rPr>
              <w:t>na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>, način i uvjet</w:t>
            </w:r>
            <w:r w:rsidR="007E4E09">
              <w:rPr>
                <w:rFonts w:ascii="Arial" w:eastAsia="Times New Roman" w:hAnsi="Arial" w:cs="Arial"/>
                <w:lang w:eastAsia="hr-HR"/>
              </w:rPr>
              <w:t>i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 xml:space="preserve"> plaćanja poreza na korištenje javnih površina, </w:t>
            </w:r>
            <w:r w:rsidR="007E4E09">
              <w:rPr>
                <w:rFonts w:ascii="Arial" w:eastAsia="Times New Roman" w:hAnsi="Arial" w:cs="Arial"/>
                <w:lang w:eastAsia="hr-HR"/>
              </w:rPr>
              <w:t>te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 xml:space="preserve"> nadležno porezno tijelo za utvrđivanje</w:t>
            </w:r>
            <w:r w:rsidR="007E4E09">
              <w:rPr>
                <w:rFonts w:ascii="Arial" w:eastAsia="Times New Roman" w:hAnsi="Arial" w:cs="Arial"/>
                <w:lang w:eastAsia="hr-HR"/>
              </w:rPr>
              <w:t>, evidentiranje, nadzor, naplatu i ovrhu radi naplate navedenih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 xml:space="preserve"> poreza</w:t>
            </w:r>
            <w:r w:rsidRPr="003B6144"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17C47C00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3B614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C11193">
              <w:rPr>
                <w:rFonts w:ascii="Arial" w:hAnsi="Arial" w:cs="Arial"/>
              </w:rPr>
              <w:t>2</w:t>
            </w:r>
            <w:r w:rsidR="000E183C">
              <w:rPr>
                <w:rFonts w:ascii="Arial" w:hAnsi="Arial" w:cs="Arial"/>
              </w:rPr>
              <w:t>5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3B6144">
              <w:rPr>
                <w:rFonts w:ascii="Arial" w:hAnsi="Arial" w:cs="Arial"/>
              </w:rPr>
              <w:t>listopada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0E183C">
              <w:rPr>
                <w:rFonts w:ascii="Arial" w:hAnsi="Arial" w:cs="Arial"/>
              </w:rPr>
              <w:t>3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0E183C">
              <w:rPr>
                <w:rFonts w:ascii="Arial" w:hAnsi="Arial" w:cs="Arial"/>
              </w:rPr>
              <w:t>23</w:t>
            </w:r>
            <w:r w:rsidR="000A072A">
              <w:rPr>
                <w:rFonts w:ascii="Arial" w:hAnsi="Arial" w:cs="Arial"/>
              </w:rPr>
              <w:t xml:space="preserve">. </w:t>
            </w:r>
            <w:r w:rsidR="003B6144">
              <w:rPr>
                <w:rFonts w:ascii="Arial" w:hAnsi="Arial" w:cs="Arial"/>
              </w:rPr>
              <w:t>studenog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</w:t>
            </w:r>
            <w:r w:rsidR="000E183C">
              <w:rPr>
                <w:rFonts w:ascii="Arial" w:hAnsi="Arial" w:cs="Arial"/>
              </w:rPr>
              <w:t>3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22D67B55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C11193" w:rsidRPr="00C11193">
              <w:rPr>
                <w:rFonts w:ascii="Arial" w:hAnsi="Arial" w:cs="Arial"/>
              </w:rPr>
              <w:t>o porezima Općine Stara Gradiška</w:t>
            </w:r>
            <w:r w:rsidR="00C11193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0B904513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>Odluke o</w:t>
            </w:r>
            <w:r w:rsidR="000E183C">
              <w:rPr>
                <w:rFonts w:ascii="Arial" w:hAnsi="Arial" w:cs="Arial"/>
                <w:bCs/>
                <w:color w:val="000000"/>
              </w:rPr>
              <w:t xml:space="preserve"> porezima 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59D7E6A9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C11193">
        <w:rPr>
          <w:rFonts w:ascii="Arial" w:hAnsi="Arial" w:cs="Arial"/>
        </w:rPr>
        <w:t>2</w:t>
      </w:r>
      <w:r w:rsidR="000E183C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 xml:space="preserve">. </w:t>
      </w:r>
      <w:r w:rsidR="00EF2411">
        <w:rPr>
          <w:rFonts w:ascii="Arial" w:hAnsi="Arial" w:cs="Arial"/>
        </w:rPr>
        <w:t>studenog</w:t>
      </w:r>
      <w:r w:rsidRPr="00126DDC">
        <w:rPr>
          <w:rFonts w:ascii="Arial" w:hAnsi="Arial" w:cs="Arial"/>
        </w:rPr>
        <w:t xml:space="preserve"> 202</w:t>
      </w:r>
      <w:r w:rsidR="000E183C">
        <w:rPr>
          <w:rFonts w:ascii="Arial" w:hAnsi="Arial" w:cs="Arial"/>
        </w:rPr>
        <w:t>3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C953" w14:textId="77777777" w:rsidR="006D33D8" w:rsidRDefault="006D33D8" w:rsidP="00552B72">
      <w:pPr>
        <w:spacing w:after="0" w:line="240" w:lineRule="auto"/>
      </w:pPr>
      <w:r>
        <w:separator/>
      </w:r>
    </w:p>
  </w:endnote>
  <w:endnote w:type="continuationSeparator" w:id="0">
    <w:p w14:paraId="220EAF57" w14:textId="77777777" w:rsidR="006D33D8" w:rsidRDefault="006D33D8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54A9" w14:textId="77777777" w:rsidR="006D33D8" w:rsidRDefault="006D33D8" w:rsidP="00552B72">
      <w:pPr>
        <w:spacing w:after="0" w:line="240" w:lineRule="auto"/>
      </w:pPr>
      <w:r>
        <w:separator/>
      </w:r>
    </w:p>
  </w:footnote>
  <w:footnote w:type="continuationSeparator" w:id="0">
    <w:p w14:paraId="5667CA82" w14:textId="77777777" w:rsidR="006D33D8" w:rsidRDefault="006D33D8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126DDC"/>
    <w:rsid w:val="001B7064"/>
    <w:rsid w:val="001C7A76"/>
    <w:rsid w:val="00206218"/>
    <w:rsid w:val="0036312E"/>
    <w:rsid w:val="003B6144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6D33D8"/>
    <w:rsid w:val="00720D9B"/>
    <w:rsid w:val="007E4E09"/>
    <w:rsid w:val="007F0D13"/>
    <w:rsid w:val="008D22D9"/>
    <w:rsid w:val="008F1F00"/>
    <w:rsid w:val="00A64544"/>
    <w:rsid w:val="00A7268F"/>
    <w:rsid w:val="00B02EAE"/>
    <w:rsid w:val="00B70473"/>
    <w:rsid w:val="00BA4C33"/>
    <w:rsid w:val="00C06C14"/>
    <w:rsid w:val="00C11193"/>
    <w:rsid w:val="00C14240"/>
    <w:rsid w:val="00C936AA"/>
    <w:rsid w:val="00CD6389"/>
    <w:rsid w:val="00DA5CC8"/>
    <w:rsid w:val="00E41C4A"/>
    <w:rsid w:val="00EF2411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2</cp:revision>
  <cp:lastPrinted>2022-01-28T07:38:00Z</cp:lastPrinted>
  <dcterms:created xsi:type="dcterms:W3CDTF">2023-11-23T13:01:00Z</dcterms:created>
  <dcterms:modified xsi:type="dcterms:W3CDTF">2023-11-23T13:01:00Z</dcterms:modified>
</cp:coreProperties>
</file>